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3FCF" w:rsidRDefault="00211790">
      <w:pPr>
        <w:jc w:val="center"/>
        <w:rPr>
          <w:rFonts w:ascii="Arial" w:hAnsi="Arial"/>
          <w:b/>
          <w:color w:val="000000" w:themeColor="text1"/>
          <w:sz w:val="24"/>
        </w:rPr>
      </w:pPr>
      <w:r>
        <w:rPr>
          <w:rFonts w:ascii="Arial" w:hAnsi="Arial"/>
          <w:b/>
          <w:noProof/>
          <w:color w:val="000000" w:themeColor="text1"/>
          <w:sz w:val="24"/>
        </w:rPr>
        <w:drawing>
          <wp:inline distT="0" distB="0" distL="0" distR="0">
            <wp:extent cx="5939790" cy="1167323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39790" cy="11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D8" w:rsidRPr="003003D8" w:rsidRDefault="003003D8" w:rsidP="003003D8">
      <w:pPr>
        <w:spacing w:after="0" w:line="240" w:lineRule="auto"/>
        <w:jc w:val="center"/>
        <w:rPr>
          <w:rFonts w:ascii="Arial" w:hAnsi="Arial"/>
          <w:sz w:val="24"/>
        </w:rPr>
      </w:pPr>
      <w:r w:rsidRPr="003003D8">
        <w:rPr>
          <w:rFonts w:ascii="Arial" w:hAnsi="Arial"/>
          <w:sz w:val="24"/>
        </w:rPr>
        <w:t>Дополнительная профессиональная программа</w:t>
      </w:r>
    </w:p>
    <w:p w:rsidR="00853FCF" w:rsidRDefault="003003D8" w:rsidP="003003D8">
      <w:pPr>
        <w:spacing w:after="0" w:line="240" w:lineRule="auto"/>
        <w:jc w:val="center"/>
        <w:rPr>
          <w:rFonts w:ascii="Arial" w:hAnsi="Arial"/>
          <w:sz w:val="24"/>
        </w:rPr>
      </w:pPr>
      <w:r w:rsidRPr="003003D8">
        <w:rPr>
          <w:rFonts w:ascii="Arial" w:hAnsi="Arial"/>
          <w:sz w:val="24"/>
        </w:rPr>
        <w:t>/программа повышения квалификации</w:t>
      </w:r>
    </w:p>
    <w:p w:rsidR="00853FCF" w:rsidRDefault="00211790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b/>
          <w:color w:val="000000" w:themeColor="text1"/>
          <w:sz w:val="24"/>
        </w:rPr>
        <w:t xml:space="preserve"> «Использование среды SprutCAM для фрезерной и токарной обработки»</w:t>
      </w:r>
    </w:p>
    <w:p w:rsidR="00853FCF" w:rsidRDefault="00211790">
      <w:pPr>
        <w:tabs>
          <w:tab w:val="left" w:pos="2694"/>
        </w:tabs>
        <w:spacing w:before="120" w:after="120" w:line="240" w:lineRule="auto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выезд на предприятие (при наборе группы от 5 человек)</w:t>
      </w:r>
    </w:p>
    <w:p w:rsidR="00853FCF" w:rsidRDefault="00211790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Курс включает в себя написание управляющих программ для станков с ЧПУ при помощи системы SprutCAM, в том числе для 4-х и 5-ти осевых станков. </w:t>
      </w:r>
    </w:p>
    <w:p w:rsidR="00853FCF" w:rsidRDefault="00853FCF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</w:p>
    <w:p w:rsidR="00853FCF" w:rsidRDefault="00211790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Система SprutCAM предназначена для автоматизированного проектирования обработки детали на станке с ЧПУ и составления управляющих программ. Проектирование выполняется с применением кинематической схемы (3D модели) станка, включая модели оснастки и инструмента. Программист проверяет возможность обработки деталей на конкретном оборудовании, имитирует наладку станка в среде SprutCAM. В дальнейшем это сократит время наладки Вашего оборудования и исключит вероятность столкновений, поломки инструмента и оборудования.</w:t>
      </w:r>
    </w:p>
    <w:p w:rsidR="00853FCF" w:rsidRDefault="00853FCF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b/>
        </w:rPr>
      </w:pPr>
    </w:p>
    <w:p w:rsidR="00853FCF" w:rsidRDefault="00211790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Продолжительность:</w:t>
      </w:r>
      <w:r>
        <w:rPr>
          <w:rFonts w:ascii="Arial" w:hAnsi="Arial"/>
          <w:sz w:val="20"/>
        </w:rPr>
        <w:t xml:space="preserve"> 40 часов – 5 дней.</w:t>
      </w:r>
    </w:p>
    <w:p w:rsidR="00853FCF" w:rsidRDefault="00211790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Обучение проходят</w:t>
      </w:r>
      <w:r>
        <w:rPr>
          <w:rFonts w:ascii="Arial" w:hAnsi="Arial"/>
          <w:sz w:val="20"/>
        </w:rPr>
        <w:t xml:space="preserve">: </w:t>
      </w:r>
      <w:r w:rsidR="003003D8" w:rsidRPr="003003D8">
        <w:rPr>
          <w:rFonts w:ascii="Arial" w:hAnsi="Arial"/>
          <w:sz w:val="20"/>
        </w:rPr>
        <w:t>сотрудники предприятий, физические лица, имеющие среднее профессиональное и/или высшее образование</w:t>
      </w:r>
      <w:r w:rsidR="003003D8" w:rsidRPr="003003D8">
        <w:rPr>
          <w:rFonts w:ascii="Arial" w:hAnsi="Arial"/>
          <w:sz w:val="20"/>
        </w:rPr>
        <w:t xml:space="preserve"> </w:t>
      </w:r>
      <w:r w:rsidR="003003D8">
        <w:rPr>
          <w:rFonts w:ascii="Arial" w:hAnsi="Arial"/>
          <w:sz w:val="20"/>
        </w:rPr>
        <w:t>(</w:t>
      </w:r>
      <w:r>
        <w:rPr>
          <w:rFonts w:ascii="Arial" w:hAnsi="Arial"/>
          <w:sz w:val="20"/>
        </w:rPr>
        <w:t>технологи, программисты, наладчики</w:t>
      </w:r>
      <w:r w:rsidR="003003D8">
        <w:rPr>
          <w:rFonts w:ascii="Arial" w:hAnsi="Arial"/>
          <w:sz w:val="20"/>
        </w:rPr>
        <w:t>)</w:t>
      </w:r>
      <w:bookmarkStart w:id="0" w:name="_GoBack"/>
      <w:bookmarkEnd w:id="0"/>
      <w:r>
        <w:rPr>
          <w:rFonts w:ascii="Arial" w:hAnsi="Arial"/>
          <w:sz w:val="20"/>
        </w:rPr>
        <w:t>.</w:t>
      </w:r>
    </w:p>
    <w:p w:rsidR="00853FCF" w:rsidRDefault="00211790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Стоимость</w:t>
      </w:r>
      <w:r>
        <w:rPr>
          <w:rFonts w:ascii="Arial" w:hAnsi="Arial"/>
          <w:sz w:val="20"/>
        </w:rPr>
        <w:t>: 77 000 руб. за 1 человека.</w:t>
      </w:r>
    </w:p>
    <w:p w:rsidR="00853FCF" w:rsidRDefault="00853FCF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sz w:val="20"/>
        </w:rPr>
      </w:pPr>
    </w:p>
    <w:tbl>
      <w:tblPr>
        <w:tblStyle w:val="ac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659"/>
        <w:gridCol w:w="911"/>
      </w:tblGrid>
      <w:tr w:rsidR="00853FCF"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tabs>
                <w:tab w:val="center" w:pos="4678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ФРЕЗЕРНАЯ ОБРАБОТКА</w:t>
            </w:r>
            <w:r>
              <w:rPr>
                <w:rFonts w:ascii="Arial" w:hAnsi="Arial"/>
                <w:sz w:val="20"/>
              </w:rPr>
              <w:tab/>
              <w:t>1-й день</w:t>
            </w:r>
          </w:p>
        </w:tc>
      </w:tr>
      <w:tr w:rsidR="00853FCF">
        <w:trPr>
          <w:trHeight w:val="28"/>
        </w:trPr>
        <w:tc>
          <w:tcPr>
            <w:tcW w:w="8659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Интерфейс SprutCAM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Основные возможности системы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Структура и состав системы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Команды главного меню</w:t>
            </w:r>
          </w:p>
        </w:tc>
        <w:tc>
          <w:tcPr>
            <w:tcW w:w="911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853FCF">
        <w:trPr>
          <w:trHeight w:val="28"/>
        </w:trPr>
        <w:tc>
          <w:tcPr>
            <w:tcW w:w="8659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Работа с кинематическими схемами станков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Добавление и выбор оборудования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Настроечные точки станка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Размещение детали на станке</w:t>
            </w:r>
          </w:p>
        </w:tc>
        <w:tc>
          <w:tcPr>
            <w:tcW w:w="911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853FCF">
        <w:trPr>
          <w:trHeight w:val="28"/>
        </w:trPr>
        <w:tc>
          <w:tcPr>
            <w:tcW w:w="8659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Работа с геометрическими моделями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Изучение 2D геометрического редактора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Работа с 3D моделями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Преобразования моделей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локальных систем координат</w:t>
            </w:r>
          </w:p>
        </w:tc>
        <w:tc>
          <w:tcPr>
            <w:tcW w:w="911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853FCF">
        <w:trPr>
          <w:trHeight w:val="28"/>
        </w:trPr>
        <w:tc>
          <w:tcPr>
            <w:tcW w:w="8659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технологических операций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Типы операций, их назначение, параметры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Заполнение и редактирование базы инструмента, фасонный инструмент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техпроцесса обработки детали. Формирование рабочего задания операций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Экспорт/импорт операций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вспомогательных зон (ограничения, оснастка)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Вспомогательные операции, перустанов детали и оснастки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Моделирование обработки, сохранение и дальнейшее использование результата моделирования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Формирование управляющей программы. Постпроцессоры</w:t>
            </w:r>
          </w:p>
        </w:tc>
        <w:tc>
          <w:tcPr>
            <w:tcW w:w="911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853FCF">
        <w:trPr>
          <w:trHeight w:val="28"/>
        </w:trPr>
        <w:tc>
          <w:tcPr>
            <w:tcW w:w="8659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Менеджер библиотек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Корректирование, добавление, удаление инструментов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Корректирование, добавление, удаление оправок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Визуализация подключаемого инструмента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Подключение своей базы инструмента</w:t>
            </w:r>
          </w:p>
        </w:tc>
        <w:tc>
          <w:tcPr>
            <w:tcW w:w="911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2 ч.</w:t>
            </w:r>
          </w:p>
        </w:tc>
      </w:tr>
      <w:tr w:rsidR="00853FCF"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3003D8" w:rsidRDefault="003003D8">
            <w:pPr>
              <w:tabs>
                <w:tab w:val="left" w:pos="2694"/>
              </w:tabs>
              <w:jc w:val="center"/>
              <w:rPr>
                <w:rFonts w:ascii="Arial" w:hAnsi="Arial"/>
                <w:sz w:val="20"/>
              </w:rPr>
            </w:pPr>
          </w:p>
          <w:p w:rsidR="003003D8" w:rsidRDefault="003003D8" w:rsidP="003003D8">
            <w:pPr>
              <w:tabs>
                <w:tab w:val="left" w:pos="1860"/>
                <w:tab w:val="left" w:pos="269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ab/>
            </w:r>
            <w:r>
              <w:rPr>
                <w:rFonts w:ascii="Arial" w:hAnsi="Arial"/>
                <w:sz w:val="20"/>
              </w:rPr>
              <w:tab/>
            </w:r>
          </w:p>
          <w:p w:rsidR="00853FCF" w:rsidRDefault="00211790">
            <w:pPr>
              <w:tabs>
                <w:tab w:val="left" w:pos="2694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2-й день</w:t>
            </w:r>
          </w:p>
        </w:tc>
      </w:tr>
      <w:tr w:rsidR="00853FCF">
        <w:trPr>
          <w:trHeight w:val="28"/>
        </w:trPr>
        <w:tc>
          <w:tcPr>
            <w:tcW w:w="8659" w:type="dxa"/>
            <w:tcBorders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Фрезерная обработка – 2,5D, 3D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без 3D модели детали – операции «Выборка», «2D контур», «Обработка отверстий»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по 3D моделям – операции «Обработка торцов», «Послойная», «Построчная» , «2D контур», «Обработка отверстий»</w:t>
            </w:r>
          </w:p>
        </w:tc>
        <w:tc>
          <w:tcPr>
            <w:tcW w:w="911" w:type="dxa"/>
            <w:tcBorders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 ч.</w:t>
            </w:r>
          </w:p>
        </w:tc>
      </w:tr>
      <w:tr w:rsidR="00853FCF">
        <w:tc>
          <w:tcPr>
            <w:tcW w:w="95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tabs>
                <w:tab w:val="left" w:pos="2694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3-й день</w:t>
            </w:r>
          </w:p>
        </w:tc>
      </w:tr>
      <w:tr w:rsidR="00853FCF">
        <w:trPr>
          <w:trHeight w:val="28"/>
        </w:trPr>
        <w:tc>
          <w:tcPr>
            <w:tcW w:w="8659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Фрезерная обработка – 2,5D, 3D (продолжение)</w:t>
            </w:r>
          </w:p>
        </w:tc>
        <w:tc>
          <w:tcPr>
            <w:tcW w:w="911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853FCF">
        <w:trPr>
          <w:trHeight w:val="28"/>
        </w:trPr>
        <w:tc>
          <w:tcPr>
            <w:tcW w:w="8659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Фрезерная обработка – 3+1, 3+2 оси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Использование 2,5D и 3D операций с индексным поворотом 4-х, 5-х осей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Ротационная обработка</w:t>
            </w:r>
          </w:p>
        </w:tc>
        <w:tc>
          <w:tcPr>
            <w:tcW w:w="911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853FCF">
        <w:tc>
          <w:tcPr>
            <w:tcW w:w="95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853FCF">
            <w:pPr>
              <w:tabs>
                <w:tab w:val="center" w:pos="4678"/>
              </w:tabs>
              <w:jc w:val="both"/>
              <w:rPr>
                <w:rFonts w:ascii="Arial" w:hAnsi="Arial"/>
                <w:sz w:val="20"/>
              </w:rPr>
            </w:pPr>
          </w:p>
          <w:p w:rsidR="00853FCF" w:rsidRDefault="00211790">
            <w:pPr>
              <w:tabs>
                <w:tab w:val="center" w:pos="4678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ТОКАРНАЯ ОБРАБОТКА</w:t>
            </w:r>
            <w:r>
              <w:rPr>
                <w:rFonts w:ascii="Arial" w:hAnsi="Arial"/>
                <w:sz w:val="20"/>
              </w:rPr>
              <w:tab/>
              <w:t>4-й день</w:t>
            </w:r>
          </w:p>
        </w:tc>
      </w:tr>
      <w:tr w:rsidR="00853FCF">
        <w:trPr>
          <w:trHeight w:val="28"/>
        </w:trPr>
        <w:tc>
          <w:tcPr>
            <w:tcW w:w="8659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Токарная обработка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Особенности наладки токарного станка в SprutCAM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Специальные операции «Обработка торца», «Черновая токарная», «Чистовая токарная», «Обработка канавок», «Нарезание резьбы», «Токарное сверление», «Отрезная».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Новые специальные операции на основе токарного контура</w:t>
            </w:r>
          </w:p>
        </w:tc>
        <w:tc>
          <w:tcPr>
            <w:tcW w:w="911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 ч.</w:t>
            </w:r>
          </w:p>
        </w:tc>
      </w:tr>
      <w:tr w:rsidR="00853FCF">
        <w:tc>
          <w:tcPr>
            <w:tcW w:w="95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tabs>
                <w:tab w:val="left" w:pos="2694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5-й день</w:t>
            </w:r>
          </w:p>
        </w:tc>
      </w:tr>
      <w:tr w:rsidR="00853FCF">
        <w:trPr>
          <w:trHeight w:val="28"/>
        </w:trPr>
        <w:tc>
          <w:tcPr>
            <w:tcW w:w="8659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Фрезерная обработка на токарных станках с приводным инструментом</w:t>
            </w:r>
          </w:p>
          <w:p w:rsidR="00853FCF" w:rsidRDefault="00211790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Операции «Обработка торцов», «Послойная», «Построчная» , «2D контур», «Обработка отверстий»</w:t>
            </w:r>
          </w:p>
        </w:tc>
        <w:tc>
          <w:tcPr>
            <w:tcW w:w="911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 ч.</w:t>
            </w:r>
          </w:p>
        </w:tc>
      </w:tr>
      <w:tr w:rsidR="00853FCF">
        <w:trPr>
          <w:trHeight w:val="28"/>
        </w:trPr>
        <w:tc>
          <w:tcPr>
            <w:tcW w:w="8659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EF29C9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Итоговая а</w:t>
            </w:r>
            <w:r w:rsidR="00211790">
              <w:rPr>
                <w:rFonts w:ascii="Arial" w:hAnsi="Arial"/>
                <w:sz w:val="20"/>
              </w:rPr>
              <w:t>ттестация</w:t>
            </w:r>
          </w:p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управляющей программы в среде SprutCAM</w:t>
            </w:r>
          </w:p>
        </w:tc>
        <w:tc>
          <w:tcPr>
            <w:tcW w:w="911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</w:tbl>
    <w:p w:rsidR="00853FCF" w:rsidRDefault="00853FCF"/>
    <w:tbl>
      <w:tblPr>
        <w:tblStyle w:val="ac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659"/>
        <w:gridCol w:w="911"/>
      </w:tblGrid>
      <w:tr w:rsidR="00853FCF">
        <w:trPr>
          <w:trHeight w:val="28"/>
        </w:trPr>
        <w:tc>
          <w:tcPr>
            <w:tcW w:w="8659" w:type="dxa"/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ИТОГО</w:t>
            </w:r>
          </w:p>
        </w:tc>
        <w:tc>
          <w:tcPr>
            <w:tcW w:w="911" w:type="dxa"/>
            <w:shd w:val="clear" w:color="auto" w:fill="auto"/>
            <w:tcMar>
              <w:top w:w="85" w:type="dxa"/>
              <w:bottom w:w="85" w:type="dxa"/>
            </w:tcMar>
          </w:tcPr>
          <w:p w:rsidR="00853FCF" w:rsidRDefault="0021179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40 ч.</w:t>
            </w:r>
          </w:p>
        </w:tc>
      </w:tr>
    </w:tbl>
    <w:p w:rsidR="00853FCF" w:rsidRDefault="00853FCF">
      <w:pPr>
        <w:tabs>
          <w:tab w:val="left" w:pos="180"/>
        </w:tabs>
        <w:spacing w:after="0" w:line="240" w:lineRule="auto"/>
        <w:jc w:val="both"/>
        <w:rPr>
          <w:rFonts w:ascii="Arial" w:hAnsi="Arial"/>
          <w:sz w:val="24"/>
        </w:rPr>
      </w:pPr>
    </w:p>
    <w:p w:rsidR="00853FCF" w:rsidRDefault="00853FCF">
      <w:pPr>
        <w:tabs>
          <w:tab w:val="left" w:pos="180"/>
        </w:tabs>
        <w:spacing w:after="0" w:line="240" w:lineRule="auto"/>
        <w:jc w:val="both"/>
        <w:rPr>
          <w:rFonts w:ascii="Arial" w:hAnsi="Arial"/>
          <w:sz w:val="24"/>
        </w:rPr>
      </w:pPr>
    </w:p>
    <w:sectPr w:rsidR="00853FCF">
      <w:footerReference w:type="default" r:id="rId8"/>
      <w:pgSz w:w="11906" w:h="16838"/>
      <w:pgMar w:top="709" w:right="851" w:bottom="851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003D8" w:rsidRDefault="003003D8" w:rsidP="003003D8">
      <w:pPr>
        <w:spacing w:after="0" w:line="240" w:lineRule="auto"/>
      </w:pPr>
      <w:r>
        <w:separator/>
      </w:r>
    </w:p>
  </w:endnote>
  <w:endnote w:type="continuationSeparator" w:id="0">
    <w:p w:rsidR="003003D8" w:rsidRDefault="003003D8" w:rsidP="00300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default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003D8" w:rsidRPr="00922B72" w:rsidRDefault="003003D8" w:rsidP="003003D8">
    <w:pPr>
      <w:pStyle w:val="af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>© Исключительные права защищены, автор и правообладатель Селянинова Вера Александровна, к.п.н.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:rsidR="003003D8" w:rsidRDefault="003003D8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003D8" w:rsidRDefault="003003D8" w:rsidP="003003D8">
      <w:pPr>
        <w:spacing w:after="0" w:line="240" w:lineRule="auto"/>
      </w:pPr>
      <w:r>
        <w:separator/>
      </w:r>
    </w:p>
  </w:footnote>
  <w:footnote w:type="continuationSeparator" w:id="0">
    <w:p w:rsidR="003003D8" w:rsidRDefault="003003D8" w:rsidP="003003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70338D"/>
    <w:multiLevelType w:val="multilevel"/>
    <w:tmpl w:val="AE3EF5DC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FCF"/>
    <w:rsid w:val="00211790"/>
    <w:rsid w:val="003003D8"/>
    <w:rsid w:val="00853FCF"/>
    <w:rsid w:val="00EF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7335F"/>
  <w15:docId w15:val="{3C607824-0C05-4A78-90FA-8D65841B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5">
    <w:name w:val="Balloon Text"/>
    <w:basedOn w:val="a"/>
    <w:link w:val="a6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paragraph" w:customStyle="1" w:styleId="12">
    <w:name w:val="Гиперссылка1"/>
    <w:link w:val="a7"/>
    <w:rPr>
      <w:color w:val="0000FF"/>
      <w:u w:val="single"/>
    </w:rPr>
  </w:style>
  <w:style w:type="character" w:styleId="a7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16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unhideWhenUsed/>
    <w:rsid w:val="00300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003D8"/>
  </w:style>
  <w:style w:type="paragraph" w:styleId="af">
    <w:name w:val="footer"/>
    <w:basedOn w:val="a"/>
    <w:link w:val="af0"/>
    <w:uiPriority w:val="99"/>
    <w:unhideWhenUsed/>
    <w:rsid w:val="00300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00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485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 Борисовна Орехова</cp:lastModifiedBy>
  <cp:revision>4</cp:revision>
  <dcterms:created xsi:type="dcterms:W3CDTF">2026-01-21T08:02:00Z</dcterms:created>
  <dcterms:modified xsi:type="dcterms:W3CDTF">2026-01-21T08:16:00Z</dcterms:modified>
</cp:coreProperties>
</file>